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0" w:rsidRDefault="001C0D4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C0D40" w:rsidRDefault="001C0D40">
      <w:pPr>
        <w:pStyle w:val="BodyText"/>
        <w:spacing w:before="3"/>
        <w:rPr>
          <w:rFonts w:ascii="Times New Roman"/>
          <w:sz w:val="24"/>
        </w:rPr>
      </w:pPr>
    </w:p>
    <w:p w:rsidR="001C0D40" w:rsidRDefault="00917FD9">
      <w:pPr>
        <w:pStyle w:val="Heading1"/>
        <w:spacing w:before="1"/>
        <w:ind w:left="2926" w:right="2926"/>
        <w:jc w:val="center"/>
      </w:pPr>
      <w:r>
        <w:t>IMPORTANT INFORMATION</w:t>
      </w:r>
    </w:p>
    <w:p w:rsidR="001C0D40" w:rsidRDefault="00917FD9">
      <w:pPr>
        <w:spacing w:before="2"/>
        <w:ind w:left="2926" w:right="2926"/>
        <w:jc w:val="center"/>
        <w:rPr>
          <w:b/>
        </w:rPr>
      </w:pPr>
      <w:r>
        <w:rPr>
          <w:b/>
        </w:rPr>
        <w:t>WHO CAN APPLY? WHAT IS REQUIRED?</w:t>
      </w:r>
    </w:p>
    <w:p w:rsidR="001C0D40" w:rsidRDefault="001C0D40">
      <w:pPr>
        <w:pStyle w:val="BodyText"/>
        <w:rPr>
          <w:b/>
          <w:sz w:val="26"/>
        </w:rPr>
      </w:pPr>
    </w:p>
    <w:p w:rsidR="001C0D40" w:rsidRDefault="00917FD9">
      <w:pPr>
        <w:spacing w:before="217" w:line="264" w:lineRule="exact"/>
        <w:ind w:left="112"/>
        <w:rPr>
          <w:b/>
        </w:rPr>
      </w:pPr>
      <w:r>
        <w:rPr>
          <w:b/>
        </w:rPr>
        <w:t>Who can enter?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ind w:right="733"/>
      </w:pPr>
      <w:r>
        <w:t>The AgriFutures™ Rural Women’s Award is open to all women involved in rural and regional industries, businesses</w:t>
      </w:r>
      <w:r>
        <w:rPr>
          <w:spacing w:val="-10"/>
        </w:rPr>
        <w:t xml:space="preserve"> </w:t>
      </w:r>
      <w:r>
        <w:t>communities.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3" w:line="268" w:lineRule="exact"/>
      </w:pPr>
      <w:r>
        <w:t>No formal qualifications are</w:t>
      </w:r>
      <w:r>
        <w:rPr>
          <w:spacing w:val="-13"/>
        </w:rPr>
        <w:t xml:space="preserve"> </w:t>
      </w:r>
      <w:r>
        <w:t>required.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ind w:right="408"/>
      </w:pPr>
      <w:r>
        <w:t>Location is no barrier. If you want to create impact, innovate and make a difference and/or contribute to enhancing the prosperity of rural and regional Australia, then</w:t>
      </w:r>
      <w:r>
        <w:rPr>
          <w:spacing w:val="-29"/>
        </w:rPr>
        <w:t xml:space="preserve"> </w:t>
      </w:r>
      <w:r>
        <w:t>we want to hear from</w:t>
      </w:r>
      <w:r>
        <w:rPr>
          <w:spacing w:val="-3"/>
        </w:rPr>
        <w:t xml:space="preserve"> </w:t>
      </w:r>
      <w:r>
        <w:t>you.</w:t>
      </w:r>
    </w:p>
    <w:p w:rsidR="00F338B5" w:rsidRDefault="00F338B5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ind w:right="408"/>
      </w:pPr>
      <w:r>
        <w:t xml:space="preserve">Applicants must </w:t>
      </w:r>
      <w:r w:rsidR="00861739">
        <w:t xml:space="preserve">be female and/or </w:t>
      </w:r>
      <w:r w:rsidR="00D718C8">
        <w:t>identify as</w:t>
      </w:r>
      <w:r>
        <w:t xml:space="preserve"> female </w:t>
      </w:r>
      <w:r w:rsidR="00D718C8">
        <w:t>.</w:t>
      </w:r>
    </w:p>
    <w:p w:rsidR="001C0D40" w:rsidRDefault="00D718C8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3" w:line="266" w:lineRule="exact"/>
      </w:pPr>
      <w:r>
        <w:t xml:space="preserve">Applicants </w:t>
      </w:r>
      <w:r w:rsidR="00917FD9">
        <w:t>must be over the age of</w:t>
      </w:r>
      <w:r w:rsidR="00917FD9">
        <w:rPr>
          <w:spacing w:val="-11"/>
        </w:rPr>
        <w:t xml:space="preserve"> </w:t>
      </w:r>
      <w:r w:rsidR="00917FD9">
        <w:t>18.</w:t>
      </w:r>
    </w:p>
    <w:p w:rsidR="00B45D4A" w:rsidRDefault="00B45D4A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3" w:line="266" w:lineRule="exact"/>
      </w:pPr>
      <w:r>
        <w:t xml:space="preserve">Applicants </w:t>
      </w:r>
      <w:r w:rsidRPr="00B45D4A">
        <w:rPr>
          <w:u w:val="single"/>
        </w:rPr>
        <w:t>must not</w:t>
      </w:r>
      <w:r>
        <w:rPr>
          <w:u w:val="single"/>
        </w:rPr>
        <w:t xml:space="preserve"> be</w:t>
      </w:r>
      <w:r w:rsidRPr="00B45D4A">
        <w:t xml:space="preserve"> </w:t>
      </w:r>
      <w:r>
        <w:t xml:space="preserve">a Related Party of AgriFutures Australia (ie not an employee of AgriFutures Australia, or a member of the key management personnel of major sponsors and government agency partners, nor a close family member of the above. Applicants must not be a previous national or state/territory winner of either the former ABC Radio Rural Woman of the Year, RIRDC Rural Women’s Award, or AgriFutures Rural Women’s Award – </w:t>
      </w:r>
      <w:r w:rsidRPr="00B45D4A">
        <w:rPr>
          <w:b/>
          <w:i/>
        </w:rPr>
        <w:t>however previous state/territory finalists are encouraged to re-apply</w:t>
      </w:r>
      <w:r>
        <w:t>.</w:t>
      </w:r>
    </w:p>
    <w:p w:rsidR="001C0D40" w:rsidRDefault="00917FD9">
      <w:pPr>
        <w:pStyle w:val="BodyText"/>
        <w:spacing w:before="162"/>
        <w:ind w:left="112"/>
      </w:pPr>
      <w:r>
        <w:t>When we refer to “rural industries” we mean agriculture, forestry and fisheries.</w:t>
      </w:r>
    </w:p>
    <w:p w:rsidR="001C0D40" w:rsidRDefault="001C0D40">
      <w:pPr>
        <w:pStyle w:val="BodyText"/>
        <w:spacing w:before="10"/>
        <w:rPr>
          <w:sz w:val="21"/>
        </w:rPr>
      </w:pPr>
    </w:p>
    <w:p w:rsidR="001C0D40" w:rsidRDefault="00917FD9">
      <w:pPr>
        <w:pStyle w:val="Heading1"/>
        <w:spacing w:line="267" w:lineRule="exact"/>
      </w:pPr>
      <w:r>
        <w:t>What is the bursary?</w:t>
      </w:r>
    </w:p>
    <w:p w:rsidR="001C0D40" w:rsidRDefault="00917FD9">
      <w:pPr>
        <w:pStyle w:val="BodyText"/>
        <w:ind w:left="112" w:right="574"/>
      </w:pPr>
      <w:r>
        <w:t>The $10,000 bursary is awarded to each state/territory winner, providing the financial resources to bring to life a project or initiative that will benefit rural industries, businesses and/or communities.</w:t>
      </w:r>
    </w:p>
    <w:p w:rsidR="001C0D40" w:rsidRDefault="001C0D40">
      <w:pPr>
        <w:pStyle w:val="BodyText"/>
        <w:spacing w:before="9"/>
        <w:rPr>
          <w:sz w:val="24"/>
        </w:rPr>
      </w:pPr>
    </w:p>
    <w:p w:rsidR="006D5C89" w:rsidRPr="006D5C89" w:rsidRDefault="006D5C89" w:rsidP="006D5C89">
      <w:pPr>
        <w:spacing w:line="267" w:lineRule="exact"/>
        <w:ind w:left="112"/>
        <w:rPr>
          <w:b/>
        </w:rPr>
      </w:pPr>
      <w:r w:rsidRPr="006D5C89">
        <w:rPr>
          <w:b/>
        </w:rPr>
        <w:t>Consideration of commercially focused projects and initiatives was an important change to the</w:t>
      </w:r>
    </w:p>
    <w:p w:rsidR="001C0D40" w:rsidRDefault="006D5C89" w:rsidP="006D5C89">
      <w:pPr>
        <w:spacing w:line="267" w:lineRule="exact"/>
        <w:ind w:left="112"/>
      </w:pPr>
      <w:r w:rsidRPr="006D5C89">
        <w:rPr>
          <w:b/>
        </w:rPr>
        <w:t>Rural Women’s Award in 2018, and continues to be the case in 2019.</w:t>
      </w:r>
      <w:r>
        <w:t xml:space="preserve"> </w:t>
      </w:r>
      <w:r w:rsidR="00B45D4A" w:rsidRPr="006D5C89">
        <w:t xml:space="preserve">The project or </w:t>
      </w:r>
      <w:r>
        <w:t xml:space="preserve">initiative must </w:t>
      </w:r>
      <w:r w:rsidR="00917FD9" w:rsidRPr="006D5C89">
        <w:t>align with AgriFutures Australia’s strategic priorities such as:</w:t>
      </w:r>
    </w:p>
    <w:p w:rsidR="001C0D40" w:rsidRDefault="001C0D40">
      <w:pPr>
        <w:pStyle w:val="BodyText"/>
        <w:spacing w:before="2"/>
        <w:rPr>
          <w:sz w:val="24"/>
        </w:rPr>
      </w:pP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72" w:lineRule="exact"/>
      </w:pPr>
      <w:r>
        <w:t>Innovation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</w:pPr>
      <w:r>
        <w:t>Creativity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</w:pPr>
      <w:r>
        <w:t>Community</w:t>
      </w:r>
      <w:r>
        <w:rPr>
          <w:spacing w:val="-8"/>
        </w:rPr>
        <w:t xml:space="preserve"> </w:t>
      </w:r>
      <w:r>
        <w:t>sustainability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</w:pPr>
      <w:r>
        <w:t>Education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70" w:lineRule="exact"/>
      </w:pPr>
      <w:r>
        <w:t>Productivity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70" w:lineRule="exact"/>
      </w:pPr>
      <w:r>
        <w:t>Agribusiness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9" w:lineRule="exact"/>
      </w:pPr>
      <w:r>
        <w:t>Regional</w:t>
      </w:r>
      <w:r>
        <w:rPr>
          <w:spacing w:val="-3"/>
        </w:rPr>
        <w:t xml:space="preserve"> </w:t>
      </w:r>
      <w:r>
        <w:t>development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72" w:lineRule="exact"/>
      </w:pPr>
      <w:r>
        <w:t>Technology</w:t>
      </w:r>
    </w:p>
    <w:p w:rsidR="001C0D40" w:rsidRDefault="001C0D40">
      <w:pPr>
        <w:pStyle w:val="BodyText"/>
        <w:spacing w:before="11"/>
        <w:rPr>
          <w:sz w:val="21"/>
        </w:rPr>
      </w:pPr>
    </w:p>
    <w:p w:rsidR="001C0D40" w:rsidRDefault="001C0D40">
      <w:pPr>
        <w:pStyle w:val="BodyText"/>
        <w:spacing w:before="11"/>
        <w:rPr>
          <w:b/>
          <w:sz w:val="21"/>
        </w:rPr>
      </w:pPr>
    </w:p>
    <w:p w:rsidR="001C0D40" w:rsidRDefault="00917FD9">
      <w:pPr>
        <w:pStyle w:val="BodyText"/>
        <w:ind w:left="112" w:right="191"/>
      </w:pPr>
      <w:r>
        <w:t>The bursary can be used for formal training in leadership and business management; overseas study tours; establishing business plans or pilot programs; developing educational or promotional campaigns; networking at forums and conferences to grow your knowledge of industries and markets; developing training programs; testing information technology initiatives; developing or testing a new business concept or innovation; and publishing books.</w:t>
      </w:r>
    </w:p>
    <w:p w:rsidR="001C0D40" w:rsidRDefault="001C0D40">
      <w:pPr>
        <w:pStyle w:val="BodyText"/>
      </w:pPr>
    </w:p>
    <w:p w:rsidR="001C0D40" w:rsidRDefault="00917FD9">
      <w:pPr>
        <w:pStyle w:val="BodyText"/>
        <w:ind w:left="112" w:right="432"/>
        <w:jc w:val="both"/>
      </w:pPr>
      <w:r>
        <w:lastRenderedPageBreak/>
        <w:t>The bursary cannot be used for buying capital equipment (without the explicit approval from AgriFutures Australia) or further tertiary education such as a Diploma, Masters or Doctorate degree.</w:t>
      </w:r>
    </w:p>
    <w:p w:rsidR="001C0D40" w:rsidRDefault="001C0D40">
      <w:pPr>
        <w:pStyle w:val="BodyText"/>
        <w:spacing w:before="10"/>
        <w:rPr>
          <w:sz w:val="21"/>
        </w:rPr>
      </w:pPr>
    </w:p>
    <w:p w:rsidR="001C0D40" w:rsidRDefault="00917FD9">
      <w:pPr>
        <w:pStyle w:val="BodyText"/>
        <w:ind w:left="112" w:right="134"/>
      </w:pPr>
      <w:r>
        <w:t>All state/territory winners will participate in a separate National Selection Panel interview. The National Winner will be awarded an additional $10,000 bursary and National Runner Up, an additional $5,000. These additional funds can be used for the above-mentioned activities, plus</w:t>
      </w:r>
    </w:p>
    <w:p w:rsidR="001C0D40" w:rsidRDefault="00917FD9">
      <w:pPr>
        <w:pStyle w:val="BodyText"/>
        <w:ind w:left="112" w:right="371"/>
      </w:pPr>
      <w:r>
        <w:t>may also be used to assist in meeting national commitments such as speaking engagements as the National Winner or Runner Up.</w:t>
      </w:r>
    </w:p>
    <w:p w:rsidR="001C0D40" w:rsidRDefault="001C0D40">
      <w:pPr>
        <w:pStyle w:val="BodyText"/>
        <w:spacing w:before="10"/>
        <w:rPr>
          <w:sz w:val="21"/>
        </w:rPr>
      </w:pPr>
    </w:p>
    <w:p w:rsidR="001C0D40" w:rsidRDefault="00917FD9">
      <w:pPr>
        <w:pStyle w:val="BodyText"/>
        <w:spacing w:before="1"/>
        <w:ind w:left="112" w:right="159"/>
      </w:pPr>
      <w:r>
        <w:t>Winners will also have the opportunity to complete a professional development training course, and will attend a three-day workshop with all other state/territory winners, to focus on further professional development skills and refinement of their winning idea, project or initiative.</w:t>
      </w:r>
    </w:p>
    <w:p w:rsidR="001C0D40" w:rsidRDefault="001C0D40">
      <w:pPr>
        <w:pStyle w:val="BodyText"/>
        <w:spacing w:before="1"/>
      </w:pPr>
    </w:p>
    <w:p w:rsidR="001C0D40" w:rsidRDefault="00917FD9">
      <w:pPr>
        <w:pStyle w:val="Heading1"/>
      </w:pPr>
      <w:r>
        <w:t>How do I enter?</w:t>
      </w:r>
    </w:p>
    <w:p w:rsidR="001C0D40" w:rsidRDefault="001C0D40">
      <w:pPr>
        <w:pStyle w:val="BodyText"/>
        <w:spacing w:before="2"/>
        <w:rPr>
          <w:b/>
          <w:sz w:val="24"/>
        </w:rPr>
      </w:pP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ind w:right="434"/>
      </w:pPr>
      <w:r>
        <w:t xml:space="preserve">Online applications for the </w:t>
      </w:r>
      <w:r w:rsidR="00B45D4A">
        <w:t xml:space="preserve">2019 </w:t>
      </w:r>
      <w:r>
        <w:t xml:space="preserve">AgriFutures™ Rural Women’s Award open on </w:t>
      </w:r>
      <w:r w:rsidR="00B45D4A">
        <w:t>Monday, 3 September 2018</w:t>
      </w:r>
      <w:r>
        <w:t xml:space="preserve"> and close on </w:t>
      </w:r>
      <w:r w:rsidR="00B45D4A">
        <w:t>Wednesday</w:t>
      </w:r>
      <w:r>
        <w:t xml:space="preserve">, </w:t>
      </w:r>
      <w:r w:rsidR="00B45D4A">
        <w:t>31 October 2018 at 11</w:t>
      </w:r>
      <w:r>
        <w:t>pm</w:t>
      </w:r>
      <w:r>
        <w:rPr>
          <w:spacing w:val="-19"/>
        </w:rPr>
        <w:t xml:space="preserve"> </w:t>
      </w:r>
      <w:r>
        <w:t>AEDT.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line="266" w:lineRule="exact"/>
      </w:pPr>
      <w:r>
        <w:t>The online application link can be found at</w:t>
      </w:r>
      <w:r>
        <w:rPr>
          <w:spacing w:val="-19"/>
        </w:rPr>
        <w:t xml:space="preserve"> </w:t>
      </w:r>
      <w:hyperlink r:id="rId7">
        <w:r>
          <w:t>agrifutures.com.au/rwa</w:t>
        </w:r>
      </w:hyperlink>
      <w:r w:rsidR="00B45D4A">
        <w:t xml:space="preserve"> 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ind w:right="325"/>
      </w:pPr>
      <w:r>
        <w:t>Within the application, all selection criteria must be addressed, and contact details of two referees must be</w:t>
      </w:r>
      <w:r>
        <w:rPr>
          <w:spacing w:val="-11"/>
        </w:rPr>
        <w:t xml:space="preserve"> </w:t>
      </w:r>
      <w:r>
        <w:t>supplied.</w:t>
      </w:r>
    </w:p>
    <w:p w:rsidR="001C0D40" w:rsidRDefault="00917FD9">
      <w:pPr>
        <w:pStyle w:val="ListParagraph"/>
        <w:numPr>
          <w:ilvl w:val="0"/>
          <w:numId w:val="7"/>
        </w:numPr>
        <w:tabs>
          <w:tab w:val="left" w:pos="833"/>
          <w:tab w:val="left" w:pos="834"/>
        </w:tabs>
        <w:spacing w:before="1" w:line="237" w:lineRule="auto"/>
        <w:ind w:right="165"/>
      </w:pPr>
      <w:r>
        <w:t>Referees will only be contacted if your application makes it to the final round – ie. face- to-face state/territory</w:t>
      </w:r>
      <w:r>
        <w:rPr>
          <w:spacing w:val="-12"/>
        </w:rPr>
        <w:t xml:space="preserve"> </w:t>
      </w:r>
      <w:r>
        <w:t>interviews.</w:t>
      </w:r>
    </w:p>
    <w:p w:rsidR="001C0D40" w:rsidRDefault="00917FD9">
      <w:pPr>
        <w:pStyle w:val="BodyText"/>
        <w:spacing w:before="162"/>
        <w:ind w:left="112" w:right="176"/>
      </w:pPr>
      <w:r>
        <w:t>State Coordinator contact information is provided at agrifutures.com.au/rwa and on the online application form – we encourage you to contact your State Coordinator, who will guide you through the application process and provide feedback on your project idea.</w:t>
      </w:r>
    </w:p>
    <w:p w:rsidR="001C0D40" w:rsidRDefault="001C0D40">
      <w:pPr>
        <w:pStyle w:val="BodyText"/>
        <w:spacing w:before="10"/>
        <w:rPr>
          <w:sz w:val="21"/>
        </w:rPr>
      </w:pPr>
    </w:p>
    <w:p w:rsidR="001C0D40" w:rsidRDefault="00917FD9">
      <w:pPr>
        <w:pStyle w:val="Heading1"/>
        <w:spacing w:before="1"/>
      </w:pPr>
      <w:r>
        <w:t>What is the process and schedule?</w:t>
      </w:r>
    </w:p>
    <w:p w:rsidR="001C0D40" w:rsidRDefault="001C0D40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502"/>
      </w:tblGrid>
      <w:tr w:rsidR="001C0D40">
        <w:trPr>
          <w:trHeight w:val="260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:rsidR="001C0D40" w:rsidRDefault="00917FD9">
            <w:pPr>
              <w:pStyle w:val="TableParagraph"/>
              <w:spacing w:before="3" w:line="241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:rsidR="001C0D40" w:rsidRDefault="00917FD9">
            <w:pPr>
              <w:pStyle w:val="TableParagraph"/>
              <w:spacing w:before="3" w:line="241" w:lineRule="exact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1C0D40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B45D4A">
            <w:pPr>
              <w:pStyle w:val="TableParagraph"/>
              <w:spacing w:before="5"/>
            </w:pPr>
            <w:r>
              <w:t>September 2018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B45D4A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line="272" w:lineRule="exact"/>
            </w:pPr>
            <w:r>
              <w:t>3</w:t>
            </w:r>
            <w:r w:rsidR="00917FD9">
              <w:t xml:space="preserve"> Sept: Online applications</w:t>
            </w:r>
            <w:r w:rsidR="00917FD9">
              <w:rPr>
                <w:spacing w:val="-11"/>
              </w:rPr>
              <w:t xml:space="preserve"> </w:t>
            </w:r>
            <w:r w:rsidR="00917FD9">
              <w:t>open</w:t>
            </w:r>
          </w:p>
          <w:p w:rsidR="001C0D40" w:rsidRDefault="006647C6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spacing w:before="15" w:line="259" w:lineRule="auto"/>
              <w:ind w:right="441"/>
            </w:pPr>
            <w:r>
              <w:t>27</w:t>
            </w:r>
            <w:r w:rsidRPr="006647C6">
              <w:rPr>
                <w:vertAlign w:val="superscript"/>
              </w:rPr>
              <w:t xml:space="preserve"> </w:t>
            </w:r>
            <w:r>
              <w:t>Sept:</w:t>
            </w:r>
            <w:r w:rsidR="00917FD9">
              <w:t xml:space="preserve"> What is the Rural Women’s Award, who should apply, and how to address the Selection</w:t>
            </w:r>
            <w:r w:rsidR="00917FD9">
              <w:rPr>
                <w:spacing w:val="-14"/>
              </w:rPr>
              <w:t xml:space="preserve"> </w:t>
            </w:r>
            <w:r w:rsidR="00917FD9">
              <w:t>Criteria?</w:t>
            </w:r>
            <w:r>
              <w:t xml:space="preserve"> </w:t>
            </w:r>
            <w:r w:rsidRPr="006647C6">
              <w:rPr>
                <w:color w:val="000000" w:themeColor="text1"/>
              </w:rPr>
              <w:t>Link to webinar can be found at agrifutures.com.au/rwa</w:t>
            </w:r>
          </w:p>
        </w:tc>
      </w:tr>
      <w:tr w:rsidR="001C0D40">
        <w:trPr>
          <w:trHeight w:val="4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917FD9" w:rsidP="00B45D4A">
            <w:pPr>
              <w:pStyle w:val="TableParagraph"/>
              <w:spacing w:before="5"/>
            </w:pPr>
            <w:r>
              <w:t>October 201</w:t>
            </w:r>
            <w:r w:rsidR="00B45D4A">
              <w:t>8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B45D4A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72" w:lineRule="exact"/>
            </w:pPr>
            <w:r>
              <w:t>31</w:t>
            </w:r>
            <w:r w:rsidR="00917FD9">
              <w:t xml:space="preserve"> Oct: Applications</w:t>
            </w:r>
            <w:r w:rsidR="00917FD9">
              <w:rPr>
                <w:spacing w:val="-5"/>
              </w:rPr>
              <w:t xml:space="preserve"> </w:t>
            </w:r>
            <w:r w:rsidR="00917FD9">
              <w:t>close</w:t>
            </w:r>
            <w:r>
              <w:t>*</w:t>
            </w:r>
          </w:p>
        </w:tc>
      </w:tr>
      <w:tr w:rsidR="001C0D40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B45D4A">
            <w:pPr>
              <w:pStyle w:val="TableParagraph"/>
              <w:spacing w:before="5"/>
            </w:pPr>
            <w:r>
              <w:t>November 2018</w:t>
            </w:r>
            <w:r w:rsidR="00917FD9">
              <w:t xml:space="preserve"> –</w:t>
            </w:r>
          </w:p>
          <w:p w:rsidR="001C0D40" w:rsidRDefault="00B45D4A">
            <w:pPr>
              <w:pStyle w:val="TableParagraph"/>
              <w:spacing w:before="1"/>
            </w:pPr>
            <w:r>
              <w:t>February 2019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917FD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72" w:lineRule="exact"/>
            </w:pPr>
            <w:r>
              <w:t>Applications reviewed and</w:t>
            </w:r>
            <w:r>
              <w:rPr>
                <w:spacing w:val="-11"/>
              </w:rPr>
              <w:t xml:space="preserve"> </w:t>
            </w:r>
            <w:r>
              <w:t>shortlisted</w:t>
            </w:r>
          </w:p>
          <w:p w:rsidR="001C0D40" w:rsidRDefault="00917FD9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5" w:line="259" w:lineRule="auto"/>
              <w:ind w:right="1354"/>
            </w:pPr>
            <w:r>
              <w:t>Top 8-10 applicants participate in phone interviews with state/territory Selection</w:t>
            </w:r>
            <w:r>
              <w:rPr>
                <w:spacing w:val="-9"/>
              </w:rPr>
              <w:t xml:space="preserve"> </w:t>
            </w:r>
            <w:r>
              <w:t>Panels</w:t>
            </w:r>
          </w:p>
        </w:tc>
      </w:tr>
      <w:tr w:rsidR="001C0D40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917FD9">
            <w:pPr>
              <w:pStyle w:val="TableParagraph"/>
              <w:spacing w:before="5" w:line="267" w:lineRule="exact"/>
            </w:pPr>
            <w:r>
              <w:t>March 201</w:t>
            </w:r>
            <w:r w:rsidR="00B45D4A">
              <w:t>9</w:t>
            </w:r>
            <w:r>
              <w:t xml:space="preserve"> –</w:t>
            </w:r>
          </w:p>
          <w:p w:rsidR="001C0D40" w:rsidRDefault="00B45D4A">
            <w:pPr>
              <w:pStyle w:val="TableParagraph"/>
              <w:spacing w:line="267" w:lineRule="exact"/>
            </w:pPr>
            <w:r>
              <w:t>April 2019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917FD9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line="259" w:lineRule="auto"/>
              <w:ind w:right="313"/>
            </w:pPr>
            <w:r>
              <w:t>State/territory finalists face-to-face interview with State /territory Selection</w:t>
            </w:r>
            <w:r>
              <w:rPr>
                <w:spacing w:val="-6"/>
              </w:rPr>
              <w:t xml:space="preserve"> </w:t>
            </w:r>
            <w:r>
              <w:t>Panel</w:t>
            </w:r>
          </w:p>
          <w:p w:rsidR="001C0D40" w:rsidRDefault="00917FD9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3" w:line="270" w:lineRule="exact"/>
            </w:pPr>
            <w:r>
              <w:t>State/territory announcement</w:t>
            </w:r>
            <w:r>
              <w:rPr>
                <w:spacing w:val="-11"/>
              </w:rPr>
              <w:t xml:space="preserve"> </w:t>
            </w:r>
            <w:r>
              <w:t>events</w:t>
            </w:r>
          </w:p>
        </w:tc>
      </w:tr>
      <w:tr w:rsidR="001C0D40">
        <w:trPr>
          <w:trHeight w:val="7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B45D4A">
            <w:pPr>
              <w:pStyle w:val="TableParagraph"/>
              <w:spacing w:before="5"/>
            </w:pPr>
            <w:r>
              <w:t>June 2019</w:t>
            </w:r>
            <w:r w:rsidR="00917FD9">
              <w:t xml:space="preserve"> –</w:t>
            </w:r>
          </w:p>
          <w:p w:rsidR="001C0D40" w:rsidRDefault="00B45D4A">
            <w:pPr>
              <w:pStyle w:val="TableParagraph"/>
              <w:spacing w:before="1"/>
            </w:pPr>
            <w:r>
              <w:t>July 2019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917FD9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59" w:lineRule="auto"/>
              <w:ind w:right="616"/>
            </w:pPr>
            <w:r>
              <w:t>State/territory winners participate in a three-day workshop and National Selection Panel</w:t>
            </w:r>
            <w:r>
              <w:rPr>
                <w:spacing w:val="-11"/>
              </w:rPr>
              <w:t xml:space="preserve"> </w:t>
            </w:r>
            <w:r>
              <w:t>interviews</w:t>
            </w:r>
          </w:p>
        </w:tc>
      </w:tr>
      <w:tr w:rsidR="001C0D40">
        <w:trPr>
          <w:trHeight w:val="7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917FD9">
            <w:pPr>
              <w:pStyle w:val="TableParagraph"/>
              <w:spacing w:before="5"/>
            </w:pPr>
            <w:r>
              <w:t>September 2018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40" w:rsidRDefault="00917FD9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259" w:lineRule="auto"/>
              <w:ind w:right="835"/>
            </w:pPr>
            <w:r>
              <w:t>AgriFutures™ Rural Women’s Award Gala Dinner and National Announcement</w:t>
            </w:r>
          </w:p>
        </w:tc>
      </w:tr>
    </w:tbl>
    <w:p w:rsidR="001C0D40" w:rsidRDefault="001C0D40">
      <w:pPr>
        <w:spacing w:line="259" w:lineRule="auto"/>
      </w:pPr>
    </w:p>
    <w:p w:rsidR="00B45D4A" w:rsidRDefault="00B45D4A">
      <w:pPr>
        <w:spacing w:line="259" w:lineRule="auto"/>
        <w:sectPr w:rsidR="00B45D4A">
          <w:headerReference w:type="default" r:id="rId8"/>
          <w:footerReference w:type="even" r:id="rId9"/>
          <w:footerReference w:type="default" r:id="rId10"/>
          <w:footerReference w:type="first" r:id="rId11"/>
          <w:pgSz w:w="11900" w:h="16850"/>
          <w:pgMar w:top="2040" w:right="1020" w:bottom="1220" w:left="1020" w:header="281" w:footer="1033" w:gutter="0"/>
          <w:cols w:space="720"/>
        </w:sectPr>
      </w:pPr>
      <w:r>
        <w:t>*  NT applications close 27 January 2019</w:t>
      </w:r>
    </w:p>
    <w:p w:rsidR="001C0D40" w:rsidRDefault="001C0D40">
      <w:pPr>
        <w:pStyle w:val="BodyText"/>
        <w:rPr>
          <w:b/>
          <w:sz w:val="20"/>
        </w:rPr>
      </w:pPr>
    </w:p>
    <w:p w:rsidR="001C0D40" w:rsidRDefault="001C0D40">
      <w:pPr>
        <w:pStyle w:val="BodyText"/>
        <w:rPr>
          <w:b/>
        </w:rPr>
      </w:pPr>
    </w:p>
    <w:p w:rsidR="001C0D40" w:rsidRDefault="00917FD9">
      <w:pPr>
        <w:ind w:left="112"/>
        <w:rPr>
          <w:b/>
        </w:rPr>
      </w:pPr>
      <w:r>
        <w:rPr>
          <w:b/>
        </w:rPr>
        <w:t>Your responsibilities to AgriFutures Australia</w:t>
      </w:r>
    </w:p>
    <w:p w:rsidR="001C0D40" w:rsidRDefault="00917FD9">
      <w:pPr>
        <w:pStyle w:val="BodyText"/>
        <w:spacing w:before="1"/>
        <w:ind w:left="112" w:right="531"/>
      </w:pPr>
      <w:r>
        <w:t>State/territory AgriFutures™ Rural Women’s Award winners will be required to sign an agreement with AgriFutures Australia. Once winners have been formalised, they will be required to submit a detailed Project/Business Plan to AgriFutures Australia for review and approval. AgriFutures Australia will provide a template for the plan and will work with each state/territory winner to develop and formalise their plan.</w:t>
      </w:r>
    </w:p>
    <w:p w:rsidR="001C0D40" w:rsidRDefault="001C0D40">
      <w:pPr>
        <w:pStyle w:val="BodyText"/>
      </w:pPr>
    </w:p>
    <w:p w:rsidR="001C0D40" w:rsidRDefault="00917FD9">
      <w:pPr>
        <w:pStyle w:val="BodyText"/>
        <w:spacing w:before="1"/>
        <w:ind w:left="112" w:right="102"/>
      </w:pPr>
      <w:r>
        <w:t>As part of the agreement with AgriFutures Australia, state/territory winners will be informal brand ambassadors for AgriFutures Australia and the AgriFutures™ Rural Women’s Award. Each state/territory winner will be required to visit one school during their 12 month tenure as the state/territory winner, speaking to students about careers and opportunities in Agriculture and rural and regional communities. You may tailor your talk to focus on your areas of knowledge and experience.</w:t>
      </w:r>
    </w:p>
    <w:p w:rsidR="001C0D40" w:rsidRDefault="001C0D40">
      <w:pPr>
        <w:pStyle w:val="BodyText"/>
        <w:spacing w:before="1"/>
      </w:pPr>
    </w:p>
    <w:p w:rsidR="001C0D40" w:rsidRDefault="00917FD9">
      <w:pPr>
        <w:pStyle w:val="BodyText"/>
        <w:ind w:left="112" w:right="472"/>
      </w:pPr>
      <w:r>
        <w:t>At the conclusion of the Award tenure, a final report must also be submitted, including information on how the bursary was used. AgriFutures Australia will seek reimbursement of the bursary if the report is not submitted.</w:t>
      </w:r>
    </w:p>
    <w:p w:rsidR="001C0D40" w:rsidRDefault="001C0D40">
      <w:pPr>
        <w:pStyle w:val="BodyText"/>
      </w:pPr>
    </w:p>
    <w:p w:rsidR="001C0D40" w:rsidRDefault="00917FD9">
      <w:pPr>
        <w:pStyle w:val="BodyText"/>
        <w:spacing w:before="1"/>
        <w:ind w:left="112" w:right="454"/>
      </w:pPr>
      <w:r>
        <w:t>State/territory AgriFutures™ Rural Women’s Award winners can expect to be interviewed by the media and where practical attend and speak at relevant public functions.</w:t>
      </w:r>
    </w:p>
    <w:p w:rsidR="001C0D40" w:rsidRDefault="001C0D40">
      <w:pPr>
        <w:pStyle w:val="BodyText"/>
        <w:spacing w:before="11"/>
        <w:rPr>
          <w:sz w:val="21"/>
        </w:rPr>
      </w:pPr>
    </w:p>
    <w:p w:rsidR="001C0D40" w:rsidRDefault="00917FD9">
      <w:pPr>
        <w:pStyle w:val="BodyText"/>
        <w:ind w:left="112" w:right="103"/>
      </w:pPr>
      <w:r>
        <w:t>AgriFutures Australia and relevant state and territory agencies reserve ‘non-exclusive’ rights to publish any material generated from successful applicants’ involvement in the Award.</w:t>
      </w: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rPr>
          <w:sz w:val="20"/>
        </w:rPr>
      </w:pPr>
    </w:p>
    <w:p w:rsidR="001C0D40" w:rsidRDefault="001C0D40">
      <w:pPr>
        <w:pStyle w:val="BodyText"/>
        <w:spacing w:before="8"/>
        <w:rPr>
          <w:sz w:val="15"/>
        </w:rPr>
      </w:pPr>
    </w:p>
    <w:p w:rsidR="00917FD9" w:rsidRDefault="00917FD9">
      <w:pPr>
        <w:pStyle w:val="BodyText"/>
        <w:spacing w:before="8"/>
        <w:rPr>
          <w:sz w:val="15"/>
        </w:rPr>
      </w:pPr>
    </w:p>
    <w:p w:rsidR="00917FD9" w:rsidRDefault="00917FD9">
      <w:pPr>
        <w:pStyle w:val="BodyText"/>
        <w:spacing w:before="8"/>
        <w:rPr>
          <w:sz w:val="15"/>
        </w:rPr>
      </w:pPr>
    </w:p>
    <w:p w:rsidR="00917FD9" w:rsidRDefault="00917FD9">
      <w:pPr>
        <w:pStyle w:val="BodyText"/>
        <w:spacing w:before="8"/>
        <w:rPr>
          <w:sz w:val="15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B45D4A" w:rsidRDefault="00B45D4A">
      <w:pPr>
        <w:spacing w:before="100"/>
        <w:ind w:left="112" w:right="1066"/>
        <w:rPr>
          <w:sz w:val="18"/>
        </w:rPr>
      </w:pPr>
    </w:p>
    <w:p w:rsidR="001C0D40" w:rsidRDefault="00917FD9">
      <w:pPr>
        <w:spacing w:before="100"/>
        <w:ind w:left="112" w:right="1066"/>
        <w:rPr>
          <w:sz w:val="18"/>
        </w:rPr>
      </w:pPr>
      <w:r>
        <w:rPr>
          <w:sz w:val="18"/>
        </w:rPr>
        <w:t>AgriFutures Australia is the trading name for Rural Industries Research &amp; Development Corporation. AgriFutures is a trade mark owned by Rural Industries Research &amp; Development Corporation.</w:t>
      </w:r>
    </w:p>
    <w:sectPr w:rsidR="001C0D40">
      <w:pgSz w:w="11900" w:h="16850"/>
      <w:pgMar w:top="2040" w:right="1020" w:bottom="1220" w:left="1020" w:header="281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04" w:rsidRDefault="00302E04">
      <w:r>
        <w:separator/>
      </w:r>
    </w:p>
  </w:endnote>
  <w:endnote w:type="continuationSeparator" w:id="0">
    <w:p w:rsidR="00302E04" w:rsidRDefault="0030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 TT">
    <w:altName w:val="Arial"/>
    <w:charset w:val="00"/>
    <w:family w:val="swiss"/>
    <w:pitch w:val="variable"/>
    <w:sig w:usb0="800000AF" w:usb1="4000216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84ff7015-147c-447d-a9d5-2157"/>
  <w:p w:rsidR="00A06935" w:rsidRDefault="00A0693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580402243/v1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35" w:rsidRPr="006E0930" w:rsidRDefault="00A06935" w:rsidP="006E093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A93E36" wp14:editId="58C4847E">
              <wp:simplePos x="0" y="0"/>
              <wp:positionH relativeFrom="page">
                <wp:posOffset>6731635</wp:posOffset>
              </wp:positionH>
              <wp:positionV relativeFrom="page">
                <wp:posOffset>9898380</wp:posOffset>
              </wp:positionV>
              <wp:extent cx="130810" cy="177800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35" w:rsidRDefault="00A06935" w:rsidP="006E0930">
                          <w:pPr>
                            <w:spacing w:line="263" w:lineRule="exact"/>
                            <w:ind w:left="40"/>
                            <w:rPr>
                              <w:rFonts w:ascii="Corbe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F07">
                            <w:rPr>
                              <w:rFonts w:ascii="Corbe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93E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79.4pt;width:10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n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" filled="f" stroked="f">
              <v:textbox inset="0,0,0,0">
                <w:txbxContent>
                  <w:p w:rsidR="00A06935" w:rsidRDefault="00A06935" w:rsidP="006E0930">
                    <w:pPr>
                      <w:spacing w:line="263" w:lineRule="exact"/>
                      <w:ind w:left="40"/>
                      <w:rPr>
                        <w:rFonts w:ascii="Corbe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F07">
                      <w:rPr>
                        <w:rFonts w:ascii="Corbe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Start w:id="2" w:name="_iDocIDField50bec1d2-fccb-4cb9-9887-f709"/>
  <w:p w:rsidR="00A06935" w:rsidRDefault="00A0693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580402243/v1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f0a6a401-62c2-4019-af34-9060"/>
  <w:p w:rsidR="00A06935" w:rsidRDefault="00A0693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580402243/v1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04" w:rsidRDefault="00302E04">
      <w:r>
        <w:separator/>
      </w:r>
    </w:p>
  </w:footnote>
  <w:footnote w:type="continuationSeparator" w:id="0">
    <w:p w:rsidR="00302E04" w:rsidRDefault="0030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40" w:rsidRDefault="00917FD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178307</wp:posOffset>
          </wp:positionV>
          <wp:extent cx="2476500" cy="11216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6500" cy="1121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CC8"/>
    <w:multiLevelType w:val="hybridMultilevel"/>
    <w:tmpl w:val="99BEB498"/>
    <w:lvl w:ilvl="0" w:tplc="9ED281C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D4D68C">
      <w:numFmt w:val="bullet"/>
      <w:lvlText w:val="•"/>
      <w:lvlJc w:val="left"/>
      <w:pPr>
        <w:ind w:left="1127" w:hanging="284"/>
      </w:pPr>
      <w:rPr>
        <w:rFonts w:hint="default"/>
      </w:rPr>
    </w:lvl>
    <w:lvl w:ilvl="2" w:tplc="67DE1D90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A81CB8EC">
      <w:numFmt w:val="bullet"/>
      <w:lvlText w:val="•"/>
      <w:lvlJc w:val="left"/>
      <w:pPr>
        <w:ind w:left="2541" w:hanging="284"/>
      </w:pPr>
      <w:rPr>
        <w:rFonts w:hint="default"/>
      </w:rPr>
    </w:lvl>
    <w:lvl w:ilvl="4" w:tplc="AC2494AA">
      <w:numFmt w:val="bullet"/>
      <w:lvlText w:val="•"/>
      <w:lvlJc w:val="left"/>
      <w:pPr>
        <w:ind w:left="3248" w:hanging="284"/>
      </w:pPr>
      <w:rPr>
        <w:rFonts w:hint="default"/>
      </w:rPr>
    </w:lvl>
    <w:lvl w:ilvl="5" w:tplc="D38EACBA">
      <w:numFmt w:val="bullet"/>
      <w:lvlText w:val="•"/>
      <w:lvlJc w:val="left"/>
      <w:pPr>
        <w:ind w:left="3955" w:hanging="284"/>
      </w:pPr>
      <w:rPr>
        <w:rFonts w:hint="default"/>
      </w:rPr>
    </w:lvl>
    <w:lvl w:ilvl="6" w:tplc="C8342602">
      <w:numFmt w:val="bullet"/>
      <w:lvlText w:val="•"/>
      <w:lvlJc w:val="left"/>
      <w:pPr>
        <w:ind w:left="4662" w:hanging="284"/>
      </w:pPr>
      <w:rPr>
        <w:rFonts w:hint="default"/>
      </w:rPr>
    </w:lvl>
    <w:lvl w:ilvl="7" w:tplc="9BDE2D4E">
      <w:numFmt w:val="bullet"/>
      <w:lvlText w:val="•"/>
      <w:lvlJc w:val="left"/>
      <w:pPr>
        <w:ind w:left="5370" w:hanging="284"/>
      </w:pPr>
      <w:rPr>
        <w:rFonts w:hint="default"/>
      </w:rPr>
    </w:lvl>
    <w:lvl w:ilvl="8" w:tplc="6AA6D46E">
      <w:numFmt w:val="bullet"/>
      <w:lvlText w:val="•"/>
      <w:lvlJc w:val="left"/>
      <w:pPr>
        <w:ind w:left="6077" w:hanging="284"/>
      </w:pPr>
      <w:rPr>
        <w:rFonts w:hint="default"/>
      </w:rPr>
    </w:lvl>
  </w:abstractNum>
  <w:abstractNum w:abstractNumId="1" w15:restartNumberingAfterBreak="0">
    <w:nsid w:val="27CB3E8C"/>
    <w:multiLevelType w:val="hybridMultilevel"/>
    <w:tmpl w:val="8DA0A55C"/>
    <w:lvl w:ilvl="0" w:tplc="3F6EB00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B86541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DA1CEE"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59F8D458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C06808B8"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FA3A2EF0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0348298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A82E3B2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B428E3BC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2" w15:restartNumberingAfterBreak="0">
    <w:nsid w:val="3C9A289E"/>
    <w:multiLevelType w:val="hybridMultilevel"/>
    <w:tmpl w:val="F09E63AE"/>
    <w:lvl w:ilvl="0" w:tplc="8D4048E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29E5C">
      <w:numFmt w:val="bullet"/>
      <w:lvlText w:val="•"/>
      <w:lvlJc w:val="left"/>
      <w:pPr>
        <w:ind w:left="1127" w:hanging="284"/>
      </w:pPr>
      <w:rPr>
        <w:rFonts w:hint="default"/>
      </w:rPr>
    </w:lvl>
    <w:lvl w:ilvl="2" w:tplc="A0BCF33A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8E8AB36E">
      <w:numFmt w:val="bullet"/>
      <w:lvlText w:val="•"/>
      <w:lvlJc w:val="left"/>
      <w:pPr>
        <w:ind w:left="2541" w:hanging="284"/>
      </w:pPr>
      <w:rPr>
        <w:rFonts w:hint="default"/>
      </w:rPr>
    </w:lvl>
    <w:lvl w:ilvl="4" w:tplc="2652926A">
      <w:numFmt w:val="bullet"/>
      <w:lvlText w:val="•"/>
      <w:lvlJc w:val="left"/>
      <w:pPr>
        <w:ind w:left="3248" w:hanging="284"/>
      </w:pPr>
      <w:rPr>
        <w:rFonts w:hint="default"/>
      </w:rPr>
    </w:lvl>
    <w:lvl w:ilvl="5" w:tplc="8E26C9C0">
      <w:numFmt w:val="bullet"/>
      <w:lvlText w:val="•"/>
      <w:lvlJc w:val="left"/>
      <w:pPr>
        <w:ind w:left="3955" w:hanging="284"/>
      </w:pPr>
      <w:rPr>
        <w:rFonts w:hint="default"/>
      </w:rPr>
    </w:lvl>
    <w:lvl w:ilvl="6" w:tplc="83BC42BC">
      <w:numFmt w:val="bullet"/>
      <w:lvlText w:val="•"/>
      <w:lvlJc w:val="left"/>
      <w:pPr>
        <w:ind w:left="4662" w:hanging="284"/>
      </w:pPr>
      <w:rPr>
        <w:rFonts w:hint="default"/>
      </w:rPr>
    </w:lvl>
    <w:lvl w:ilvl="7" w:tplc="BB68325E">
      <w:numFmt w:val="bullet"/>
      <w:lvlText w:val="•"/>
      <w:lvlJc w:val="left"/>
      <w:pPr>
        <w:ind w:left="5370" w:hanging="284"/>
      </w:pPr>
      <w:rPr>
        <w:rFonts w:hint="default"/>
      </w:rPr>
    </w:lvl>
    <w:lvl w:ilvl="8" w:tplc="AD8E8FF0">
      <w:numFmt w:val="bullet"/>
      <w:lvlText w:val="•"/>
      <w:lvlJc w:val="left"/>
      <w:pPr>
        <w:ind w:left="6077" w:hanging="284"/>
      </w:pPr>
      <w:rPr>
        <w:rFonts w:hint="default"/>
      </w:rPr>
    </w:lvl>
  </w:abstractNum>
  <w:abstractNum w:abstractNumId="3" w15:restartNumberingAfterBreak="0">
    <w:nsid w:val="407F7D61"/>
    <w:multiLevelType w:val="hybridMultilevel"/>
    <w:tmpl w:val="A5066952"/>
    <w:lvl w:ilvl="0" w:tplc="09009A8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BA45FE">
      <w:numFmt w:val="bullet"/>
      <w:lvlText w:val="•"/>
      <w:lvlJc w:val="left"/>
      <w:pPr>
        <w:ind w:left="1127" w:hanging="284"/>
      </w:pPr>
      <w:rPr>
        <w:rFonts w:hint="default"/>
      </w:rPr>
    </w:lvl>
    <w:lvl w:ilvl="2" w:tplc="74CACD68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AB18470C">
      <w:numFmt w:val="bullet"/>
      <w:lvlText w:val="•"/>
      <w:lvlJc w:val="left"/>
      <w:pPr>
        <w:ind w:left="2541" w:hanging="284"/>
      </w:pPr>
      <w:rPr>
        <w:rFonts w:hint="default"/>
      </w:rPr>
    </w:lvl>
    <w:lvl w:ilvl="4" w:tplc="E33C2050">
      <w:numFmt w:val="bullet"/>
      <w:lvlText w:val="•"/>
      <w:lvlJc w:val="left"/>
      <w:pPr>
        <w:ind w:left="3248" w:hanging="284"/>
      </w:pPr>
      <w:rPr>
        <w:rFonts w:hint="default"/>
      </w:rPr>
    </w:lvl>
    <w:lvl w:ilvl="5" w:tplc="E6280BB0">
      <w:numFmt w:val="bullet"/>
      <w:lvlText w:val="•"/>
      <w:lvlJc w:val="left"/>
      <w:pPr>
        <w:ind w:left="3955" w:hanging="284"/>
      </w:pPr>
      <w:rPr>
        <w:rFonts w:hint="default"/>
      </w:rPr>
    </w:lvl>
    <w:lvl w:ilvl="6" w:tplc="ADF4F796">
      <w:numFmt w:val="bullet"/>
      <w:lvlText w:val="•"/>
      <w:lvlJc w:val="left"/>
      <w:pPr>
        <w:ind w:left="4662" w:hanging="284"/>
      </w:pPr>
      <w:rPr>
        <w:rFonts w:hint="default"/>
      </w:rPr>
    </w:lvl>
    <w:lvl w:ilvl="7" w:tplc="D9E01C42">
      <w:numFmt w:val="bullet"/>
      <w:lvlText w:val="•"/>
      <w:lvlJc w:val="left"/>
      <w:pPr>
        <w:ind w:left="5370" w:hanging="284"/>
      </w:pPr>
      <w:rPr>
        <w:rFonts w:hint="default"/>
      </w:rPr>
    </w:lvl>
    <w:lvl w:ilvl="8" w:tplc="6010C0E4">
      <w:numFmt w:val="bullet"/>
      <w:lvlText w:val="•"/>
      <w:lvlJc w:val="left"/>
      <w:pPr>
        <w:ind w:left="6077" w:hanging="284"/>
      </w:pPr>
      <w:rPr>
        <w:rFonts w:hint="default"/>
      </w:rPr>
    </w:lvl>
  </w:abstractNum>
  <w:abstractNum w:abstractNumId="4" w15:restartNumberingAfterBreak="0">
    <w:nsid w:val="450B6A90"/>
    <w:multiLevelType w:val="hybridMultilevel"/>
    <w:tmpl w:val="BF42EB22"/>
    <w:lvl w:ilvl="0" w:tplc="12FEE23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FC2E00">
      <w:numFmt w:val="bullet"/>
      <w:lvlText w:val="•"/>
      <w:lvlJc w:val="left"/>
      <w:pPr>
        <w:ind w:left="1127" w:hanging="284"/>
      </w:pPr>
      <w:rPr>
        <w:rFonts w:hint="default"/>
      </w:rPr>
    </w:lvl>
    <w:lvl w:ilvl="2" w:tplc="0F02235A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8D98910E">
      <w:numFmt w:val="bullet"/>
      <w:lvlText w:val="•"/>
      <w:lvlJc w:val="left"/>
      <w:pPr>
        <w:ind w:left="2541" w:hanging="284"/>
      </w:pPr>
      <w:rPr>
        <w:rFonts w:hint="default"/>
      </w:rPr>
    </w:lvl>
    <w:lvl w:ilvl="4" w:tplc="6A5CC878">
      <w:numFmt w:val="bullet"/>
      <w:lvlText w:val="•"/>
      <w:lvlJc w:val="left"/>
      <w:pPr>
        <w:ind w:left="3248" w:hanging="284"/>
      </w:pPr>
      <w:rPr>
        <w:rFonts w:hint="default"/>
      </w:rPr>
    </w:lvl>
    <w:lvl w:ilvl="5" w:tplc="325ECAFC">
      <w:numFmt w:val="bullet"/>
      <w:lvlText w:val="•"/>
      <w:lvlJc w:val="left"/>
      <w:pPr>
        <w:ind w:left="3955" w:hanging="284"/>
      </w:pPr>
      <w:rPr>
        <w:rFonts w:hint="default"/>
      </w:rPr>
    </w:lvl>
    <w:lvl w:ilvl="6" w:tplc="D1645E40">
      <w:numFmt w:val="bullet"/>
      <w:lvlText w:val="•"/>
      <w:lvlJc w:val="left"/>
      <w:pPr>
        <w:ind w:left="4662" w:hanging="284"/>
      </w:pPr>
      <w:rPr>
        <w:rFonts w:hint="default"/>
      </w:rPr>
    </w:lvl>
    <w:lvl w:ilvl="7" w:tplc="5ADAF77E">
      <w:numFmt w:val="bullet"/>
      <w:lvlText w:val="•"/>
      <w:lvlJc w:val="left"/>
      <w:pPr>
        <w:ind w:left="5370" w:hanging="284"/>
      </w:pPr>
      <w:rPr>
        <w:rFonts w:hint="default"/>
      </w:rPr>
    </w:lvl>
    <w:lvl w:ilvl="8" w:tplc="58F66806">
      <w:numFmt w:val="bullet"/>
      <w:lvlText w:val="•"/>
      <w:lvlJc w:val="left"/>
      <w:pPr>
        <w:ind w:left="6077" w:hanging="284"/>
      </w:pPr>
      <w:rPr>
        <w:rFonts w:hint="default"/>
      </w:rPr>
    </w:lvl>
  </w:abstractNum>
  <w:abstractNum w:abstractNumId="5" w15:restartNumberingAfterBreak="0">
    <w:nsid w:val="58C24B52"/>
    <w:multiLevelType w:val="hybridMultilevel"/>
    <w:tmpl w:val="AB1E2A04"/>
    <w:lvl w:ilvl="0" w:tplc="3E64FD2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FA17A8">
      <w:numFmt w:val="bullet"/>
      <w:lvlText w:val="•"/>
      <w:lvlJc w:val="left"/>
      <w:pPr>
        <w:ind w:left="1127" w:hanging="284"/>
      </w:pPr>
      <w:rPr>
        <w:rFonts w:hint="default"/>
      </w:rPr>
    </w:lvl>
    <w:lvl w:ilvl="2" w:tplc="E5188DA4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766ECAD8">
      <w:numFmt w:val="bullet"/>
      <w:lvlText w:val="•"/>
      <w:lvlJc w:val="left"/>
      <w:pPr>
        <w:ind w:left="2541" w:hanging="284"/>
      </w:pPr>
      <w:rPr>
        <w:rFonts w:hint="default"/>
      </w:rPr>
    </w:lvl>
    <w:lvl w:ilvl="4" w:tplc="52284E52">
      <w:numFmt w:val="bullet"/>
      <w:lvlText w:val="•"/>
      <w:lvlJc w:val="left"/>
      <w:pPr>
        <w:ind w:left="3248" w:hanging="284"/>
      </w:pPr>
      <w:rPr>
        <w:rFonts w:hint="default"/>
      </w:rPr>
    </w:lvl>
    <w:lvl w:ilvl="5" w:tplc="20DA9FEE">
      <w:numFmt w:val="bullet"/>
      <w:lvlText w:val="•"/>
      <w:lvlJc w:val="left"/>
      <w:pPr>
        <w:ind w:left="3955" w:hanging="284"/>
      </w:pPr>
      <w:rPr>
        <w:rFonts w:hint="default"/>
      </w:rPr>
    </w:lvl>
    <w:lvl w:ilvl="6" w:tplc="DCFE8452">
      <w:numFmt w:val="bullet"/>
      <w:lvlText w:val="•"/>
      <w:lvlJc w:val="left"/>
      <w:pPr>
        <w:ind w:left="4662" w:hanging="284"/>
      </w:pPr>
      <w:rPr>
        <w:rFonts w:hint="default"/>
      </w:rPr>
    </w:lvl>
    <w:lvl w:ilvl="7" w:tplc="E542A8EA">
      <w:numFmt w:val="bullet"/>
      <w:lvlText w:val="•"/>
      <w:lvlJc w:val="left"/>
      <w:pPr>
        <w:ind w:left="5370" w:hanging="284"/>
      </w:pPr>
      <w:rPr>
        <w:rFonts w:hint="default"/>
      </w:rPr>
    </w:lvl>
    <w:lvl w:ilvl="8" w:tplc="C89CB7A0">
      <w:numFmt w:val="bullet"/>
      <w:lvlText w:val="•"/>
      <w:lvlJc w:val="left"/>
      <w:pPr>
        <w:ind w:left="6077" w:hanging="284"/>
      </w:pPr>
      <w:rPr>
        <w:rFonts w:hint="default"/>
      </w:rPr>
    </w:lvl>
  </w:abstractNum>
  <w:abstractNum w:abstractNumId="6" w15:restartNumberingAfterBreak="0">
    <w:nsid w:val="7DD64E5D"/>
    <w:multiLevelType w:val="hybridMultilevel"/>
    <w:tmpl w:val="27460214"/>
    <w:lvl w:ilvl="0" w:tplc="28742DA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90FD5C">
      <w:numFmt w:val="bullet"/>
      <w:lvlText w:val="•"/>
      <w:lvlJc w:val="left"/>
      <w:pPr>
        <w:ind w:left="1127" w:hanging="284"/>
      </w:pPr>
      <w:rPr>
        <w:rFonts w:hint="default"/>
      </w:rPr>
    </w:lvl>
    <w:lvl w:ilvl="2" w:tplc="6B86892A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6FD4AE40">
      <w:numFmt w:val="bullet"/>
      <w:lvlText w:val="•"/>
      <w:lvlJc w:val="left"/>
      <w:pPr>
        <w:ind w:left="2541" w:hanging="284"/>
      </w:pPr>
      <w:rPr>
        <w:rFonts w:hint="default"/>
      </w:rPr>
    </w:lvl>
    <w:lvl w:ilvl="4" w:tplc="3C4815E4">
      <w:numFmt w:val="bullet"/>
      <w:lvlText w:val="•"/>
      <w:lvlJc w:val="left"/>
      <w:pPr>
        <w:ind w:left="3248" w:hanging="284"/>
      </w:pPr>
      <w:rPr>
        <w:rFonts w:hint="default"/>
      </w:rPr>
    </w:lvl>
    <w:lvl w:ilvl="5" w:tplc="1562A6DE">
      <w:numFmt w:val="bullet"/>
      <w:lvlText w:val="•"/>
      <w:lvlJc w:val="left"/>
      <w:pPr>
        <w:ind w:left="3955" w:hanging="284"/>
      </w:pPr>
      <w:rPr>
        <w:rFonts w:hint="default"/>
      </w:rPr>
    </w:lvl>
    <w:lvl w:ilvl="6" w:tplc="3E941342">
      <w:numFmt w:val="bullet"/>
      <w:lvlText w:val="•"/>
      <w:lvlJc w:val="left"/>
      <w:pPr>
        <w:ind w:left="4662" w:hanging="284"/>
      </w:pPr>
      <w:rPr>
        <w:rFonts w:hint="default"/>
      </w:rPr>
    </w:lvl>
    <w:lvl w:ilvl="7" w:tplc="1B922E88">
      <w:numFmt w:val="bullet"/>
      <w:lvlText w:val="•"/>
      <w:lvlJc w:val="left"/>
      <w:pPr>
        <w:ind w:left="5370" w:hanging="284"/>
      </w:pPr>
      <w:rPr>
        <w:rFonts w:hint="default"/>
      </w:rPr>
    </w:lvl>
    <w:lvl w:ilvl="8" w:tplc="9AEE0FD4">
      <w:numFmt w:val="bullet"/>
      <w:lvlText w:val="•"/>
      <w:lvlJc w:val="left"/>
      <w:pPr>
        <w:ind w:left="6077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0"/>
    <w:rsid w:val="000E7FEE"/>
    <w:rsid w:val="001C0D40"/>
    <w:rsid w:val="00302E04"/>
    <w:rsid w:val="003C677D"/>
    <w:rsid w:val="003D1E66"/>
    <w:rsid w:val="006647C6"/>
    <w:rsid w:val="006D5C89"/>
    <w:rsid w:val="00861739"/>
    <w:rsid w:val="00917FD9"/>
    <w:rsid w:val="00A06935"/>
    <w:rsid w:val="00A13F07"/>
    <w:rsid w:val="00A51B3A"/>
    <w:rsid w:val="00B45D4A"/>
    <w:rsid w:val="00C35536"/>
    <w:rsid w:val="00D718C8"/>
    <w:rsid w:val="00E23977"/>
    <w:rsid w:val="00F226ED"/>
    <w:rsid w:val="00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413D7-E04E-442B-B58F-FE090C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kkurat TT" w:eastAsia="Akkurat TT" w:hAnsi="Akkurat TT" w:cs="Akkurat TT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customStyle="1" w:styleId="DocID">
    <w:name w:val="DocID"/>
    <w:basedOn w:val="Footer"/>
    <w:next w:val="Footer"/>
    <w:link w:val="DocIDChar"/>
    <w:rsid w:val="003C677D"/>
    <w:pPr>
      <w:tabs>
        <w:tab w:val="clear" w:pos="4513"/>
        <w:tab w:val="clear" w:pos="9026"/>
      </w:tabs>
      <w:spacing w:before="60" w:after="60"/>
    </w:pPr>
    <w:rPr>
      <w:rFonts w:ascii="Arial" w:eastAsia="Times New Roman" w:hAnsi="Arial" w:cs="Arial"/>
      <w:sz w:val="14"/>
      <w:szCs w:val="20"/>
      <w:lang w:val="en-AU"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3C677D"/>
    <w:rPr>
      <w:rFonts w:ascii="Akkurat TT" w:eastAsia="Akkurat TT" w:hAnsi="Akkurat TT" w:cs="Akkurat TT"/>
    </w:rPr>
  </w:style>
  <w:style w:type="character" w:customStyle="1" w:styleId="DocIDChar">
    <w:name w:val="DocID Char"/>
    <w:basedOn w:val="BodyTextChar"/>
    <w:link w:val="DocID"/>
    <w:rsid w:val="003C677D"/>
    <w:rPr>
      <w:rFonts w:ascii="Arial" w:eastAsia="Times New Roman" w:hAnsi="Arial" w:cs="Arial"/>
      <w:sz w:val="14"/>
      <w:szCs w:val="20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3C6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7D"/>
    <w:rPr>
      <w:rFonts w:ascii="Akkurat TT" w:eastAsia="Akkurat TT" w:hAnsi="Akkurat TT" w:cs="Akkurat TT"/>
    </w:rPr>
  </w:style>
  <w:style w:type="paragraph" w:styleId="Header">
    <w:name w:val="header"/>
    <w:basedOn w:val="Normal"/>
    <w:link w:val="HeaderChar"/>
    <w:uiPriority w:val="99"/>
    <w:unhideWhenUsed/>
    <w:rsid w:val="003C6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7D"/>
    <w:rPr>
      <w:rFonts w:ascii="Akkurat TT" w:eastAsia="Akkurat TT" w:hAnsi="Akkurat TT" w:cs="Akkurat 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C6"/>
    <w:rPr>
      <w:rFonts w:ascii="Segoe UI" w:eastAsia="Akkurat T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ifutures.com.au/r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12983494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Grant</dc:creator>
  <cp:keywords/>
  <cp:lastModifiedBy>Williams, Rebecca</cp:lastModifiedBy>
  <cp:revision>2</cp:revision>
  <dcterms:created xsi:type="dcterms:W3CDTF">2018-09-10T02:43:00Z</dcterms:created>
  <dcterms:modified xsi:type="dcterms:W3CDTF">2018-09-10T02:43:00Z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Doc ID 580402243/v1</vt:lpwstr>
  </property>
  <property fmtid="{D5CDD505-2E9C-101B-9397-08002B2CF9AE}" pid="3" name="CUS_DocIDChunk0">
    <vt:lpwstr>Doc ID 580402243/v1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</Properties>
</file>